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81" w:rsidRPr="00AA695E" w:rsidRDefault="008B7C81" w:rsidP="00AA695E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 w:rsidRPr="00AA695E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Кенащинская средняя школа</w:t>
      </w: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AA695E" w:rsidRPr="00AA695E" w:rsidRDefault="00AA695E" w:rsidP="00AA695E">
      <w:pPr>
        <w:spacing w:after="0"/>
        <w:rPr>
          <w:rFonts w:ascii="Times New Roman" w:hAnsi="Times New Roman" w:cs="Times New Roman"/>
          <w:b/>
          <w:color w:val="00B0F0"/>
          <w:sz w:val="96"/>
          <w:szCs w:val="28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7C81" w:rsidRPr="00AA695E" w:rsidRDefault="008B7C81" w:rsidP="00AA695E">
      <w:pPr>
        <w:spacing w:after="0"/>
        <w:jc w:val="center"/>
        <w:rPr>
          <w:rFonts w:ascii="Times New Roman" w:hAnsi="Times New Roman" w:cs="Times New Roman"/>
          <w:b/>
          <w:color w:val="00B0F0"/>
          <w:sz w:val="96"/>
          <w:szCs w:val="28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A695E">
        <w:rPr>
          <w:rFonts w:ascii="Times New Roman" w:hAnsi="Times New Roman" w:cs="Times New Roman"/>
          <w:b/>
          <w:color w:val="00B0F0"/>
          <w:sz w:val="96"/>
          <w:szCs w:val="28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Доклад-исследование</w:t>
      </w:r>
    </w:p>
    <w:p w:rsidR="008B7C81" w:rsidRPr="00AA695E" w:rsidRDefault="008B7C81" w:rsidP="00AA695E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AA695E" w:rsidRDefault="008B7C81" w:rsidP="00AA695E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  <w:r w:rsidRPr="00AA695E">
        <w:rPr>
          <w:rFonts w:ascii="Times New Roman" w:hAnsi="Times New Roman" w:cs="Times New Roman"/>
          <w:color w:val="00B0F0"/>
          <w:sz w:val="28"/>
          <w:szCs w:val="28"/>
          <w:lang w:val="kk-KZ"/>
        </w:rPr>
        <w:t>Тема:</w:t>
      </w:r>
    </w:p>
    <w:p w:rsidR="008B7C81" w:rsidRPr="00AA695E" w:rsidRDefault="008B7C81" w:rsidP="00AA695E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72"/>
          <w:szCs w:val="28"/>
          <w:lang w:val="kk-KZ"/>
        </w:rPr>
      </w:pPr>
      <w:r w:rsidRPr="00AA695E">
        <w:rPr>
          <w:rFonts w:ascii="Times New Roman" w:hAnsi="Times New Roman" w:cs="Times New Roman"/>
          <w:b/>
          <w:i/>
          <w:color w:val="00B0F0"/>
          <w:sz w:val="72"/>
          <w:szCs w:val="28"/>
          <w:lang w:val="kk-KZ"/>
        </w:rPr>
        <w:t>Главный принцип или В кого вырастать?</w:t>
      </w:r>
    </w:p>
    <w:p w:rsidR="008B7C81" w:rsidRPr="00AA695E" w:rsidRDefault="00AA695E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  <w:r w:rsidRPr="00AA695E">
        <w:rPr>
          <w:noProof/>
          <w:color w:val="00B0F0"/>
          <w:lang w:eastAsia="ru-RU"/>
        </w:rPr>
        <w:drawing>
          <wp:anchor distT="0" distB="0" distL="114300" distR="114300" simplePos="0" relativeHeight="251658240" behindDoc="1" locked="0" layoutInCell="1" allowOverlap="1" wp14:anchorId="34994931" wp14:editId="7799AB2C">
            <wp:simplePos x="0" y="0"/>
            <wp:positionH relativeFrom="column">
              <wp:posOffset>2312035</wp:posOffset>
            </wp:positionH>
            <wp:positionV relativeFrom="paragraph">
              <wp:posOffset>94615</wp:posOffset>
            </wp:positionV>
            <wp:extent cx="2235200" cy="2629535"/>
            <wp:effectExtent l="95250" t="38100" r="31750" b="0"/>
            <wp:wrapTight wrapText="bothSides">
              <wp:wrapPolygon edited="0">
                <wp:start x="10518" y="-331"/>
                <wp:lineTo x="4861" y="380"/>
                <wp:lineTo x="5104" y="2876"/>
                <wp:lineTo x="2168" y="3082"/>
                <wp:lineTo x="2411" y="5577"/>
                <wp:lineTo x="1127" y="5667"/>
                <wp:lineTo x="1487" y="13179"/>
                <wp:lineTo x="387" y="13256"/>
                <wp:lineTo x="629" y="15751"/>
                <wp:lineTo x="-471" y="15829"/>
                <wp:lineTo x="381" y="20793"/>
                <wp:lineTo x="3133" y="20600"/>
                <wp:lineTo x="4355" y="21770"/>
                <wp:lineTo x="6189" y="21641"/>
                <wp:lineTo x="6342" y="21317"/>
                <wp:lineTo x="17443" y="19595"/>
                <wp:lineTo x="17626" y="19582"/>
                <wp:lineTo x="20701" y="17011"/>
                <wp:lineTo x="20870" y="16842"/>
                <wp:lineTo x="21911" y="14256"/>
                <wp:lineTo x="20876" y="9304"/>
                <wp:lineTo x="21367" y="6758"/>
                <wp:lineTo x="21079" y="3795"/>
                <wp:lineTo x="15425" y="737"/>
                <wp:lineTo x="12169" y="-447"/>
                <wp:lineTo x="10518" y="-331"/>
              </wp:wrapPolygon>
            </wp:wrapTight>
            <wp:docPr id="3075" name="Picture 5" descr="PE02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5" descr="PE02288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3467">
                      <a:off x="0" y="0"/>
                      <a:ext cx="223520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AA695E" w:rsidRDefault="008B7C81" w:rsidP="00AA695E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  <w:r w:rsidRPr="00AA695E">
        <w:rPr>
          <w:rFonts w:ascii="Times New Roman" w:hAnsi="Times New Roman" w:cs="Times New Roman"/>
          <w:color w:val="00B0F0"/>
          <w:sz w:val="28"/>
          <w:szCs w:val="28"/>
          <w:lang w:val="kk-KZ"/>
        </w:rPr>
        <w:t xml:space="preserve">Работа отправлена в журнал </w:t>
      </w:r>
    </w:p>
    <w:p w:rsidR="008B7C81" w:rsidRPr="00AA695E" w:rsidRDefault="008B7C81" w:rsidP="00AA695E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  <w:r w:rsidRPr="00AA695E">
        <w:rPr>
          <w:rFonts w:ascii="Times New Roman" w:hAnsi="Times New Roman" w:cs="Times New Roman"/>
          <w:color w:val="00B0F0"/>
          <w:sz w:val="28"/>
          <w:szCs w:val="28"/>
          <w:lang w:val="kk-KZ"/>
        </w:rPr>
        <w:t>«Русский язык и литература в школе»</w:t>
      </w:r>
    </w:p>
    <w:p w:rsidR="008B7C81" w:rsidRPr="00AA695E" w:rsidRDefault="00281F14" w:rsidP="00AA695E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  <w:r w:rsidRPr="00AA695E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Подготовила:</w:t>
      </w:r>
      <w:r w:rsidRPr="00AA695E">
        <w:rPr>
          <w:rFonts w:ascii="Times New Roman" w:hAnsi="Times New Roman" w:cs="Times New Roman"/>
          <w:color w:val="00B0F0"/>
          <w:sz w:val="28"/>
          <w:szCs w:val="28"/>
          <w:lang w:val="kk-KZ"/>
        </w:rPr>
        <w:t xml:space="preserve"> Садуова Г.С.</w:t>
      </w:r>
    </w:p>
    <w:p w:rsidR="008B7C81" w:rsidRPr="00AA695E" w:rsidRDefault="008B7C81" w:rsidP="00E56575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8B7C81" w:rsidRDefault="008B7C81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7C81" w:rsidRDefault="008B7C81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7C81" w:rsidRDefault="008B7C81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7C81" w:rsidRDefault="008B7C81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7C81" w:rsidRDefault="008B7C81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7C81" w:rsidRDefault="008B7C81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3905" w:rsidRDefault="00CD3905" w:rsidP="008B7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одной из книг известного и, на мой взгляд, выдающегося тонкого психолога, знатока детских душ, учителя и воспитателя Евгения Николаевича Ильина я встретила очень важное суждение о педагогическом процессе. Дословно: Однажды я спросил коллегу – словесника: каким видится ему молодой человек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века, что пока – за партой? И мой собеседник перечислил все прекрасные качества этого идеального представителя будущего</w:t>
      </w:r>
      <w:r>
        <w:rPr>
          <w:rFonts w:ascii="Times New Roman" w:hAnsi="Times New Roman" w:cs="Times New Roman"/>
          <w:sz w:val="28"/>
          <w:szCs w:val="28"/>
        </w:rPr>
        <w:t xml:space="preserve">. Разговор вроде бы был исчерпан.  Но я решил немного уточнить вопрос.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Пусть это будут не вообще  ребята, ученики, а, скажем наши дети! В прямом смысле наши – собственные, кровные. Допустим, два сына и дочь. Что тревожит в них сегодня и какими хотелось бы увидеть их через два десятилетия? Коллега приумолк. Задумался. Начиналась истинная педагогика – когда о своих детях – волнуешься.  Когда, всматриваясь в их лица, мучительно ищешь ответ на совсем непростые вопросы, как изложить пассивность многих ребят на уроке? Свой урок сделать их уроком? Учительское надо ученическим хочу. Повлиять на ученика усилиями его самого? Воспитать с таким уровнем совести, чтобы не по касательной к обществу, к самым близким людям и к самому себе жил? Как связать  теоретико – литературные </w:t>
      </w:r>
      <w:r w:rsidR="00656D15">
        <w:rPr>
          <w:rFonts w:ascii="Times New Roman" w:hAnsi="Times New Roman" w:cs="Times New Roman"/>
          <w:sz w:val="28"/>
          <w:szCs w:val="28"/>
          <w:lang w:val="kk-KZ"/>
        </w:rPr>
        <w:t>знания с нравственным взрослением?</w:t>
      </w:r>
    </w:p>
    <w:p w:rsidR="00656D15" w:rsidRDefault="00656D15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Да, именно литературные, так как именно в художественном произведении кроются самые ценные кладовые нравственности, этики, эстетики. Когда не только в книге, но и в себе, благодаря ей, делаем открытия, а потом вновь берёмся за книгу, чтобы лучше понять себя и ее, только тогда книга живет. Литературное произведения становится не просто текстом, документом, памятником эпохи, а /прежде всего!/ помощником в нравственных исканиях и обретении себя наилучшего. </w:t>
      </w:r>
    </w:p>
    <w:p w:rsidR="00656D15" w:rsidRDefault="00656D15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Стараясь осмыслить это, и, взяв раз и навсегда  себе  на вооружение данное назначение книги, я пытаюсь на каждом своем уроке литературы не просто заставлять читать, пересказывать, тренировать речь, а прежде всего учить ребят взять что – то полезное для себя, поразмыслить над поведением и поступками героев, будь это человек, или животное, или крохотная птица. Мне очень в этом мысль опять того же Евгения Николаевича Ильина, чьими педагогическими опытами я руководствуюсь и следую за ними, как за путеводной звездой, на этом не </w:t>
      </w:r>
      <w:r w:rsidR="00775A83">
        <w:rPr>
          <w:rFonts w:ascii="Times New Roman" w:hAnsi="Times New Roman" w:cs="Times New Roman"/>
          <w:sz w:val="28"/>
          <w:szCs w:val="28"/>
          <w:lang w:val="kk-KZ"/>
        </w:rPr>
        <w:t xml:space="preserve">нелегком поприще. </w:t>
      </w:r>
    </w:p>
    <w:p w:rsidR="00775A83" w:rsidRDefault="00775A83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Он писал: «Учение не схватка с учеником, а сотрудничество, общение, исключающее «дуэли». Поиск контакта – тестного и органичного».</w:t>
      </w:r>
    </w:p>
    <w:p w:rsidR="00775A83" w:rsidRDefault="00775A83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Цель общения, как педагогического принципа, конечно же, не только в том, чтобы наладить человеческие, дружеские, истинно рабочие отношения между учителем и учеником. Есть и другая забота, не менее важная. На гуманистической основе решать острейшие проблемы времени, воспитывать в человеке душу! Дисциплина, идейная и политическая сознательность, социальная и нравственная активность, ответсвенность – в конечном счете качества души! Общение, стало быть, не игра в хорошие отношения, а средство, помогающее </w:t>
      </w:r>
      <w:r w:rsidR="001F24CC">
        <w:rPr>
          <w:rFonts w:ascii="Times New Roman" w:hAnsi="Times New Roman" w:cs="Times New Roman"/>
          <w:sz w:val="28"/>
          <w:szCs w:val="28"/>
          <w:lang w:val="kk-KZ"/>
        </w:rPr>
        <w:t xml:space="preserve">учител. В сегодняшних непростых условиях выполнить социальный заказ общества. </w:t>
      </w:r>
    </w:p>
    <w:p w:rsidR="001F24CC" w:rsidRDefault="001F24CC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Из своей семнадцитилетней педагогической деятельности мне хочется, может это прозвучит немного бонально, продеманстрировать «кусочки» нравственного осмысления человеческих ценностей шестиклассниками на уроках литературы и одинадцатиклассниками. То, как и когда мне тоже удается в глазах своих учеников – Пудиков прочесть искорки задумчивости и серьёзности. Уроку, посвящённому знакомству с рассказом А.М.Горького «Воробьишко» в 6 классе, у меня предшествует беседа по душам об отцах и матерях. Вопросы типа: А любите ли вы маму? А часто ли вы ее огорчаете? А задумывались ли вы над своими поступками? А просили ли прощение? Закончился первый урок – эмоциональный, за ним последует второй – позновательный: чтение и анализ рассказа. Сюжет рассказа незатейлив: маленький желторотый воробей Пудик жил вместе с отцом – воробьем и матерью – воробьихой в уютном гнезде над окошком бани. Ел, принесенных родителями, букашек, таракашек, </w:t>
      </w:r>
      <w:r w:rsidR="0081119E">
        <w:rPr>
          <w:rFonts w:ascii="Times New Roman" w:hAnsi="Times New Roman" w:cs="Times New Roman"/>
          <w:sz w:val="28"/>
          <w:szCs w:val="28"/>
          <w:lang w:val="kk-KZ"/>
        </w:rPr>
        <w:t xml:space="preserve">и ни о чем не тужил, но был этот Пудик очень непослушен. Не мог он дождаться, когда вырастут крылышки, а они, как назло, расти не собирались. Не взирая на все предосторожности материо человеке, о зеленоглазой кошке, Пудик прыгал, прыгал и в один прекрасный день вывалился из гнезда, а кошка тут как тут. Кубарем бросилась мама – воробьиха за Пудиком «страшная, храбрая, клюв раскрыла – в глаза кошки целит». Страх приподнял с земли мальенкого Пудика. И закончилась благополучно, если забыть только о том, что мама осталась без хвоста....» такими словами закаканчивает писатель  Горький свой рассказ. Класс слушает, ребята присмирили. Буквально на следующий урок подобный рассказ И.С. Тургенева «Воробей». Большой любитель и знаток природы, писатель – пейзажист Тургенев, описал в рассказе случай, происшедший с ним и его собакой на охоте. Ничего, казалось бы, нет токого особенного: собака охотника наткнулась на маленького воробья с желтизной около клюва и пухом на голове, упавшего в ветреную погоду из гнезда. Собака приближалась, как вдруг «сорвавшись с близкого дерева, </w:t>
      </w:r>
      <w:r w:rsidR="00B9447E">
        <w:rPr>
          <w:rFonts w:ascii="Times New Roman" w:hAnsi="Times New Roman" w:cs="Times New Roman"/>
          <w:sz w:val="28"/>
          <w:szCs w:val="28"/>
          <w:lang w:val="kk-KZ"/>
        </w:rPr>
        <w:t>старой черногрудый воробей камнем упал перед самой ее мордой, с отчаянием и жалким писком прыгнул раза два в направлении зубастой, раскрытой пасти. Он ринулся спасать, он заслонил собою свое дитище... он жертвовал собою. Каким громадным чудовищем должна была ему казаться собака!</w:t>
      </w:r>
      <w:r w:rsidR="008111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9447E">
        <w:rPr>
          <w:rFonts w:ascii="Times New Roman" w:hAnsi="Times New Roman" w:cs="Times New Roman"/>
          <w:sz w:val="28"/>
          <w:szCs w:val="28"/>
          <w:lang w:val="kk-KZ"/>
        </w:rPr>
        <w:t xml:space="preserve"> Это был воробей – отец. Вовремя подоспевший охотник – хозяин отогнал собаку. «Любовь, думал я, сильнее смерти и страха смерти. Только ею, только любовью держится и движется жизнь» - такими возвышенными словами заканчивает свое произведение Тургенев. Ученики опять сидят тихие, задумчивые, а кое – кто даже вздохнул. </w:t>
      </w:r>
    </w:p>
    <w:p w:rsidR="00B9447E" w:rsidRDefault="00B9447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 дальше, чуть – чуть нравственности..., каторую начинаю с вопроса: Что общего в этих двух историях Горького и Тургенева? Дети, естественно, наперебой говорят о том, что в обоих этих произведениях родители воробьи защищают своих детой от опасности. Постепенно от птичек, от природы, от малого перехожу к более серьезнлму – взаимоотношению детей и родителей. Сравнивая их, шестиклассников, с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несмышлёнными воробышками, прошу подумать о тех поступках, которые серьезно огорчали родителей, которые прибавили седых волос им. И дети задумались. Духовными </w:t>
      </w:r>
      <w:r w:rsidR="00AD3B82">
        <w:rPr>
          <w:rFonts w:ascii="Times New Roman" w:hAnsi="Times New Roman" w:cs="Times New Roman"/>
          <w:sz w:val="28"/>
          <w:szCs w:val="28"/>
          <w:lang w:val="kk-KZ"/>
        </w:rPr>
        <w:t xml:space="preserve">шагами к себе оценивается эффективность урока и анализа произведения. И вот тут еще раз убеждаешься, что тысячу раз прав Ильин говоря, что «только синхронность учебного и воспитательного может формировать правильную душу человека....». Говорю и внушаю детям, что пока они малы, родители отвечают за них, страдают, переживают, заботятся, а ведь будет время, когда и им, уже престарелым, понадобится забота, ласка, доброе слово. Кто им это даст? Конечно же, дети, повзрослевшие дети. И боже упаси их от эгоизма, равнодушия, чёрствости по отношению к родителям, какими бы они ни были. Родителей не выбирают – аксиома известная. </w:t>
      </w:r>
    </w:p>
    <w:p w:rsidR="00AD3B82" w:rsidRDefault="00AD3B82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Как и художественная книга, урок литературы не всегда заканчивается точкой. Нередко интригующим многоточием. И тема «отцов и детей» продолжается уже в одинадцатом классе при изучении произведений Чингиза Айтматова, в частности, романа «И дольше века делится день». Из школьногь сочинения ученицы: «...Впервые в школе  мы столкнулись с этим писателем – сыном, я считаю, великого </w:t>
      </w:r>
      <w:r w:rsidR="00FA1264">
        <w:rPr>
          <w:rFonts w:ascii="Times New Roman" w:hAnsi="Times New Roman" w:cs="Times New Roman"/>
          <w:sz w:val="28"/>
          <w:szCs w:val="28"/>
          <w:lang w:val="kk-KZ"/>
        </w:rPr>
        <w:t>родственного киргизкого народа. Его произведения не могут оставить равнодушными никого, они о самом главном: о любви, о дружбе, о взоимопнимании, о назначении человека на земле, о природе и ее влиянии на людей...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A1264">
        <w:rPr>
          <w:rFonts w:ascii="Times New Roman" w:hAnsi="Times New Roman" w:cs="Times New Roman"/>
          <w:sz w:val="28"/>
          <w:szCs w:val="28"/>
          <w:lang w:val="kk-KZ"/>
        </w:rPr>
        <w:t xml:space="preserve">. Да, диапазон для размышлений широк. И на протяжении всех уроков, посвящённых изучению творчества Чингиза Айтматова, идет нравственный диалог о неотложном, жгуче – насущном, так как, как считает сам писатель, «прежде всего интересен человек завтрашнего дня, взятый в системе человеческих отношений». Читать Чингиза Айтматова в 16 – ти, 17 – ти летнем возрасте, я считаю нелегко.Слишком уж сопрягаются разные пласты времени – я имею в виду роман « И дольше века....». Но читать надо. Заглянем в ильинские труды: </w:t>
      </w:r>
      <w:r w:rsidR="00C804B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1264">
        <w:rPr>
          <w:rFonts w:ascii="Times New Roman" w:hAnsi="Times New Roman" w:cs="Times New Roman"/>
          <w:sz w:val="28"/>
          <w:szCs w:val="28"/>
          <w:lang w:val="kk-KZ"/>
        </w:rPr>
        <w:t xml:space="preserve">Сущее бедствие, когда словесник, подобно учителю математики или химии, ведет затяжную зачётно – контрольную борьбу за прочное и глубокое знание страниц, глав, томов. Ничто так не убивает мысль, как обязательное чтение! Даю школьнику </w:t>
      </w:r>
      <w:r w:rsidR="00C804BB">
        <w:rPr>
          <w:rFonts w:ascii="Times New Roman" w:hAnsi="Times New Roman" w:cs="Times New Roman"/>
          <w:sz w:val="28"/>
          <w:szCs w:val="28"/>
          <w:lang w:val="kk-KZ"/>
        </w:rPr>
        <w:t xml:space="preserve">право не читать книгу, если он этого не хочет, но делаю всё возможное, чтобы захотел. Только так и никак иначе воспитывается свободный читатель, для котрого книга – потребность духовная. т.е. читатель на всю жизнь...». Как мы знаем, после образа биографии писателя, содержания романов, в учебнике «Русская литература» для 11 класса дается «Легенда о Манкурте» как отрывок из романа «И дольше века длится день» или «Буранный полустанок», целиком понятен его сюжет: дружба двух людей Едигея и Казангапа, смерть последнего, похороны, приезд детей покойного: сына Сабитжана и дочери с мужем. Сабитжан – человек, добровольно стваший манкуртом, пожелавший стать роботом.... И вот слово «манкурт». Впервые старшеклассники сталкиваются с этим словом в творчестве Ч.Айтматова. «Легенда о Манкурте» - стала идейной стараной романа. Эта легенда – гимн материнской любви и проклятие людям, </w:t>
      </w:r>
      <w:r w:rsidR="00C804B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посмевшим поднять руку на святое – память </w:t>
      </w:r>
      <w:r w:rsidR="00547D44">
        <w:rPr>
          <w:rFonts w:ascii="Times New Roman" w:hAnsi="Times New Roman" w:cs="Times New Roman"/>
          <w:sz w:val="28"/>
          <w:szCs w:val="28"/>
          <w:lang w:val="kk-KZ"/>
        </w:rPr>
        <w:t>человека. Реалистически показоно горе женщины – матери Найман – ана. Ее сын – несчастный раб, превращенный в подобие человека, в манкурта, который не помнил своего прошлого.Это получеловек, лищенный памяти, у которого не осталось ничего за душой, да и самой души, своими руками убивает радную мать. Но ему есть оправдание, прощение. Он – не человек. Вопрос ученикам: Что же современного молодого человека, Сабитжана, сделало манкуртом, тоже человеком без памяти, забывшем о своем отце? Ответы учащихся строятся на перечислениях соблазнов современной городской жизни: благоустроенный квартиры, машины, деньги, карьеры, поездки за границу, словом, всего того, что межет вскружить голову легкомысленному человеку и заставить его забыть самое святое – родителей...</w:t>
      </w:r>
    </w:p>
    <w:p w:rsidR="00547D44" w:rsidRDefault="00547D44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 вот он – уроок нравственного взросления. Перед старшеклассниками, уже почти взрослыми людьми, возникают сложные поиски ответа на вопрос Г.Ломидзе «Разве нет среди современных людей манкуртов?» Откуда берутся в наши дни постояльцы домов для престарелых, разве у несчастных старичков и старушек, которые жалобно смотрят на нас с голубых экранов телевизоов, с ярких страниц журналов, нет и не было детей? Как они оказались здесь? Ведь не родились же они в этих пансионатах?</w:t>
      </w:r>
      <w:r w:rsidR="00FD6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6903" w:rsidRDefault="00FD6903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рода вопросы буквально буравят моих старшеклассников до глубины души. И в доказательство – одно из многих сочинений – рассуждений на данную тему:</w:t>
      </w: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1691" w:rsidRDefault="00251691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6903" w:rsidRDefault="00FD6903" w:rsidP="00AA6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О Ч И Н Е Н И Е</w:t>
      </w:r>
    </w:p>
    <w:p w:rsidR="00FD6903" w:rsidRDefault="00FD6903" w:rsidP="00E56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в современном мире манкурты?</w:t>
      </w:r>
    </w:p>
    <w:p w:rsidR="00FD6903" w:rsidRDefault="00FD6903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ответить на этот вопрос,  я бы хотела сказать несколько слов о самом Чингизе Турекуловиче Айтматове. Впервые в школе столкнулись с этим писателем – великим сыном,  я считаю, великого родственного киргизского народа, его произведения не могут оставить равнодушными никого, они о самом главном: о любви, о дружбе, о взаимопонимании, о назначении человека на земле, о природе и ее влиянии на людей и обратно. Его «Тополек</w:t>
      </w:r>
      <w:r w:rsidR="00520EEA">
        <w:rPr>
          <w:rFonts w:ascii="Times New Roman" w:hAnsi="Times New Roman" w:cs="Times New Roman"/>
          <w:sz w:val="28"/>
          <w:szCs w:val="28"/>
        </w:rPr>
        <w:t xml:space="preserve"> мой в красной косынке», «Джамиля», «Белый пароход», а особенно «Плаха» и «И дольше века длится день….» нельзя читать без волнения, радости и грусти. Как писатель любил людей, желает им добра, предостерегает от ошибок, наказывает зло и жестокость!</w:t>
      </w:r>
    </w:p>
    <w:p w:rsidR="00520EEA" w:rsidRDefault="00520EEA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Впервые слово «манкурт» я встретила в произведении Ч.Айтматова, в романе «И дольше века длится день» или его второе название «Буранный полустанок». Это несчастный раб, насильно лишенный самого доброго и бесценного – памяти. У человека можно отнять деньги, богатство, семью, даже жизнь, но когда отнимают память – это, по – моему, бесчеловечно. В «Легенде о манкурте»  несчастный сын Найман – аны  не помнит ни рода своего, ни племени, ни отца, ни матери, ни имени своего, ни детства. Он – подобие человека, а на самом деле существо, лишенное насильно разума. Обезумев </w:t>
      </w:r>
      <w:r w:rsidR="004F08E2">
        <w:rPr>
          <w:rFonts w:ascii="Times New Roman" w:hAnsi="Times New Roman" w:cs="Times New Roman"/>
          <w:sz w:val="28"/>
          <w:szCs w:val="28"/>
        </w:rPr>
        <w:t xml:space="preserve">от боли, нанесенной жуаньжуанами, он убивает и мать родную, подобно затравленному волку. Но в этой, щемящей душу, легенде – юноша – манкурт – жертва насилия, а кто же тогда Сабитжан? Настоящий ли сын своего отца? Отец его умер. А что сделал этот эгоист, разбалованный сытной и праздной городской жизнью, для своего старого и одинокого отца? Над ним никто не глумился, никто не лишал его памяти насильно, он сам забыл о своих корнях, о земле родной, о безоблачном детстве своем, об отце. Это новый тип современного манкурта. И теперь я могу утвердительно ответить на этот вопрос. </w:t>
      </w:r>
      <w:r w:rsidR="00F15F65">
        <w:rPr>
          <w:rFonts w:ascii="Times New Roman" w:hAnsi="Times New Roman" w:cs="Times New Roman"/>
          <w:sz w:val="28"/>
          <w:szCs w:val="28"/>
        </w:rPr>
        <w:t xml:space="preserve">Есть </w:t>
      </w:r>
      <w:r w:rsidR="001272EE">
        <w:rPr>
          <w:rFonts w:ascii="Times New Roman" w:hAnsi="Times New Roman" w:cs="Times New Roman"/>
          <w:sz w:val="28"/>
          <w:szCs w:val="28"/>
        </w:rPr>
        <w:t>ли современном м</w:t>
      </w:r>
      <w:r w:rsidR="00F15F65">
        <w:rPr>
          <w:rFonts w:ascii="Times New Roman" w:hAnsi="Times New Roman" w:cs="Times New Roman"/>
          <w:sz w:val="28"/>
          <w:szCs w:val="28"/>
        </w:rPr>
        <w:t>ире манкурты? Да сколько угодно. Сотни молодых людей, юношей и девушек забывают своих престарелых родителей, сдают их в дома престарелых, пансионаты или забывают просто – напросто в глухих деревнях: не вспоминают о них. А зачем они нужны? Они – обуза, они мешают, за ними ухаживать надо.</w:t>
      </w:r>
    </w:p>
    <w:p w:rsidR="00F15F65" w:rsidRDefault="00F15F65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Ведь наши родители растят нас для того, чтобы мы потом ответили им любовью и благодарность, чтобы позаботились о них в старости. Я ненавижу самоуверенных и хвастливых молодых людей, которые, забыв свои корни, свои истоки, бьют себя в грудь. </w:t>
      </w:r>
    </w:p>
    <w:p w:rsidR="00F15F65" w:rsidRDefault="00F15F65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Разве это молодость? – спросил бы поэт Вл.Вл.Маяковский.</w:t>
      </w:r>
    </w:p>
    <w:p w:rsidR="00F15F65" w:rsidRDefault="00F15F65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Ермаганбетова Ж. ученица 11 класса. Ныне студентка Кокшетауского педагогического университета им. Ш.Уалиханова.</w:t>
      </w:r>
    </w:p>
    <w:p w:rsidR="00F15F65" w:rsidRDefault="00F15F65" w:rsidP="00E5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65" w:rsidRDefault="00F15F65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свое размышление по данному главному принципу обучения в школе – обучению нравственности – мне бы хотелось закончить вновь словами Ильина Е.Н. «ВОСПИТАТЕЛЬНУЮ МИССИЮ СЛОВЕСНИКА СЧИТАЛ И СЧИТАЮ НАИВАЖНЕЙШЕЙ»</w:t>
      </w:r>
      <w:r w:rsidR="002516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A695E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695E" w:rsidRPr="00251691" w:rsidRDefault="00AA695E" w:rsidP="00E56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695E" w:rsidRPr="00251691" w:rsidSect="00AA695E">
      <w:footerReference w:type="default" r:id="rId8"/>
      <w:pgSz w:w="11906" w:h="16838"/>
      <w:pgMar w:top="1134" w:right="707" w:bottom="1134" w:left="709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BA" w:rsidRDefault="005246BA" w:rsidP="00AA695E">
      <w:pPr>
        <w:spacing w:after="0" w:line="240" w:lineRule="auto"/>
      </w:pPr>
      <w:r>
        <w:separator/>
      </w:r>
    </w:p>
  </w:endnote>
  <w:endnote w:type="continuationSeparator" w:id="0">
    <w:p w:rsidR="005246BA" w:rsidRDefault="005246BA" w:rsidP="00AA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1492"/>
      <w:docPartObj>
        <w:docPartGallery w:val="Page Numbers (Bottom of Page)"/>
        <w:docPartUnique/>
      </w:docPartObj>
    </w:sdtPr>
    <w:sdtContent>
      <w:p w:rsidR="00AA695E" w:rsidRDefault="00AA69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A695E" w:rsidRDefault="00AA69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BA" w:rsidRDefault="005246BA" w:rsidP="00AA695E">
      <w:pPr>
        <w:spacing w:after="0" w:line="240" w:lineRule="auto"/>
      </w:pPr>
      <w:r>
        <w:separator/>
      </w:r>
    </w:p>
  </w:footnote>
  <w:footnote w:type="continuationSeparator" w:id="0">
    <w:p w:rsidR="005246BA" w:rsidRDefault="005246BA" w:rsidP="00AA6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05"/>
    <w:rsid w:val="001272EE"/>
    <w:rsid w:val="001F24CC"/>
    <w:rsid w:val="0024059D"/>
    <w:rsid w:val="00251691"/>
    <w:rsid w:val="00281F14"/>
    <w:rsid w:val="004F08E2"/>
    <w:rsid w:val="00520EEA"/>
    <w:rsid w:val="005246BA"/>
    <w:rsid w:val="00547D44"/>
    <w:rsid w:val="00656D15"/>
    <w:rsid w:val="006B5ADC"/>
    <w:rsid w:val="00775A83"/>
    <w:rsid w:val="0081119E"/>
    <w:rsid w:val="008B7C81"/>
    <w:rsid w:val="009024E6"/>
    <w:rsid w:val="00A71D7A"/>
    <w:rsid w:val="00AA695E"/>
    <w:rsid w:val="00AD3B82"/>
    <w:rsid w:val="00B9447E"/>
    <w:rsid w:val="00C804BB"/>
    <w:rsid w:val="00CD1D47"/>
    <w:rsid w:val="00CD3905"/>
    <w:rsid w:val="00D92225"/>
    <w:rsid w:val="00E56575"/>
    <w:rsid w:val="00F15F65"/>
    <w:rsid w:val="00FA1264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95E"/>
  </w:style>
  <w:style w:type="paragraph" w:styleId="a7">
    <w:name w:val="footer"/>
    <w:basedOn w:val="a"/>
    <w:link w:val="a8"/>
    <w:uiPriority w:val="99"/>
    <w:unhideWhenUsed/>
    <w:rsid w:val="00AA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95E"/>
  </w:style>
  <w:style w:type="paragraph" w:styleId="a7">
    <w:name w:val="footer"/>
    <w:basedOn w:val="a"/>
    <w:link w:val="a8"/>
    <w:uiPriority w:val="99"/>
    <w:unhideWhenUsed/>
    <w:rsid w:val="00AA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НурАЛI</cp:lastModifiedBy>
  <cp:revision>11</cp:revision>
  <cp:lastPrinted>2017-02-22T18:43:00Z</cp:lastPrinted>
  <dcterms:created xsi:type="dcterms:W3CDTF">2006-02-02T10:31:00Z</dcterms:created>
  <dcterms:modified xsi:type="dcterms:W3CDTF">2017-02-22T18:45:00Z</dcterms:modified>
</cp:coreProperties>
</file>